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eastAsia="黑体"/>
          <w:b/>
          <w:sz w:val="28"/>
        </w:rPr>
      </w:pPr>
      <w:r>
        <w:rPr>
          <w:rFonts w:eastAsia="黑体"/>
          <w:b/>
          <w:sz w:val="28"/>
        </w:rPr>
        <w:t>大学生法治观念和规则意识养成研究</w:t>
      </w:r>
    </w:p>
    <w:p>
      <w:pPr>
        <w:pStyle w:val="9"/>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Theme="minorHAnsi" w:eastAsiaTheme="minorEastAsia" w:cstheme="minorBidi"/>
          <w:sz w:val="24"/>
        </w:rPr>
      </w:pPr>
      <w:r>
        <w:rPr>
          <w:rFonts w:hint="eastAsia" w:ascii="宋体" w:hAnsiTheme="minorHAnsi" w:eastAsiaTheme="minorEastAsia" w:cstheme="minorBidi"/>
          <w:sz w:val="24"/>
        </w:rPr>
        <w:t>王自珂</w:t>
      </w:r>
    </w:p>
    <w:p>
      <w:pPr>
        <w:pStyle w:val="9"/>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default" w:ascii="宋体" w:hAnsiTheme="minorHAnsi" w:eastAsiaTheme="minorEastAsia" w:cstheme="minorBidi"/>
          <w:sz w:val="24"/>
          <w:lang w:val="en-US" w:eastAsia="zh-CN"/>
        </w:rPr>
      </w:pPr>
      <w:r>
        <w:rPr>
          <w:rFonts w:hint="eastAsia" w:ascii="宋体" w:hAnsiTheme="minorHAnsi" w:eastAsiaTheme="minorEastAsia" w:cstheme="minorBidi"/>
          <w:sz w:val="24"/>
        </w:rPr>
        <w:t>广东机电职业技术学院</w:t>
      </w:r>
      <w:r>
        <w:rPr>
          <w:rFonts w:hint="eastAsia" w:ascii="宋体" w:hAnsiTheme="minorHAnsi" w:eastAsiaTheme="minorEastAsia" w:cstheme="minorBidi"/>
          <w:sz w:val="24"/>
          <w:lang w:val="en-US" w:eastAsia="zh-CN"/>
        </w:rPr>
        <w:t xml:space="preserve"> 广东 广州 </w:t>
      </w:r>
      <w:r>
        <w:rPr>
          <w:rFonts w:hint="eastAsia" w:ascii="宋体" w:hAnsiTheme="minorHAnsi" w:eastAsiaTheme="minorEastAsia" w:cstheme="minorBidi"/>
          <w:sz w:val="24"/>
        </w:rPr>
        <w:t>510515</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eastAsia="楷体"/>
          <w:sz w:val="21"/>
        </w:rPr>
      </w:pPr>
      <w:r>
        <w:rPr>
          <w:rFonts w:hint="eastAsia" w:eastAsia="黑体"/>
          <w:b/>
          <w:sz w:val="21"/>
          <w:lang w:val="en-US" w:eastAsia="zh-CN"/>
        </w:rPr>
        <w:t>[摘 要]</w:t>
      </w:r>
      <w:r>
        <w:rPr>
          <w:rFonts w:eastAsia="楷体"/>
          <w:sz w:val="21"/>
        </w:rPr>
        <w:t>法治观念和规则意识是公民在法律的基</w:t>
      </w:r>
      <w:bookmarkStart w:id="0" w:name="_GoBack"/>
      <w:bookmarkEnd w:id="0"/>
      <w:r>
        <w:rPr>
          <w:rFonts w:eastAsia="楷体"/>
          <w:sz w:val="21"/>
        </w:rPr>
        <w:t>础上，对法律的认知、理解和认同。法治观念和规则意识是法治社会的基本条件，是“依法治国”方略的内在要求。随着经济社会的快速发展，人们的价值观念也在发生着深刻变化。</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eastAsia="楷体"/>
          <w:sz w:val="21"/>
          <w:lang w:val="en-US" w:eastAsia="zh-CN"/>
        </w:rPr>
      </w:pPr>
      <w:r>
        <w:rPr>
          <w:rFonts w:hint="eastAsia" w:eastAsia="黑体"/>
          <w:b/>
          <w:sz w:val="21"/>
          <w:lang w:val="en-US" w:eastAsia="zh-CN"/>
        </w:rPr>
        <w:t>[关键词]</w:t>
      </w:r>
      <w:r>
        <w:rPr>
          <w:rFonts w:hint="eastAsia" w:eastAsia="楷体"/>
          <w:sz w:val="21"/>
          <w:lang w:val="en-US" w:eastAsia="zh-CN"/>
        </w:rPr>
        <w:t>大学生；法治观念；研究</w:t>
      </w:r>
    </w:p>
    <w:p>
      <w:pPr>
        <w:pStyle w:val="2"/>
        <w:ind w:left="0" w:leftChars="0" w:firstLine="422" w:firstLineChars="200"/>
        <w:sectPr>
          <w:headerReference r:id="rId3" w:type="default"/>
          <w:pgSz w:w="11906" w:h="16838"/>
          <w:pgMar w:top="1134" w:right="1134" w:bottom="1134" w:left="1134" w:header="720" w:footer="720" w:gutter="0"/>
          <w:cols w:space="425" w:num="1"/>
          <w:docGrid w:type="lines" w:linePitch="312" w:charSpace="0"/>
        </w:sectPr>
      </w:pPr>
      <w:r>
        <w:rPr>
          <w:rFonts w:hint="eastAsia" w:ascii="黑体" w:hAnsi="黑体" w:eastAsia="黑体" w:cs="黑体"/>
          <w:b/>
          <w:bCs/>
          <w:sz w:val="21"/>
          <w:szCs w:val="21"/>
          <w:highlight w:val="none"/>
          <w:lang w:val="en-US" w:eastAsia="zh-CN"/>
        </w:rPr>
        <w:t>[中图分类号]</w:t>
      </w:r>
      <w:r>
        <w:rPr>
          <w:rFonts w:hint="eastAsia" w:ascii="楷体" w:hAnsi="楷体" w:eastAsia="楷体" w:cs="楷体"/>
          <w:sz w:val="21"/>
          <w:szCs w:val="21"/>
          <w:highlight w:val="none"/>
          <w:lang w:val="en-US" w:eastAsia="zh-CN"/>
        </w:rPr>
        <w:t xml:space="preserve"> G641 </w:t>
      </w:r>
      <w:r>
        <w:rPr>
          <w:rFonts w:hint="eastAsia" w:ascii="黑体" w:hAnsi="黑体" w:eastAsia="黑体" w:cs="黑体"/>
          <w:b/>
          <w:bCs/>
          <w:sz w:val="21"/>
          <w:szCs w:val="21"/>
          <w:highlight w:val="none"/>
          <w:lang w:val="en-US" w:eastAsia="zh-CN"/>
        </w:rPr>
        <w:t>[文献标识码]</w:t>
      </w:r>
      <w:r>
        <w:rPr>
          <w:rFonts w:hint="eastAsia" w:ascii="黑体" w:hAnsi="黑体" w:eastAsia="黑体" w:cs="黑体"/>
          <w:b/>
          <w:bCs/>
          <w:sz w:val="18"/>
          <w:szCs w:val="18"/>
          <w:highlight w:val="none"/>
          <w:lang w:val="en-US" w:eastAsia="zh-CN"/>
        </w:rPr>
        <w:t xml:space="preserve">A </w:t>
      </w:r>
      <w:r>
        <w:rPr>
          <w:rFonts w:hint="eastAsia" w:ascii="黑体" w:hAnsi="黑体" w:eastAsia="黑体" w:cs="黑体"/>
          <w:b/>
          <w:bCs/>
          <w:sz w:val="21"/>
          <w:szCs w:val="21"/>
          <w:highlight w:val="none"/>
          <w:lang w:val="en-US" w:eastAsia="zh-CN"/>
        </w:rPr>
        <w:t>[文章编号]</w:t>
      </w:r>
      <w:r>
        <w:rPr>
          <w:rFonts w:hint="eastAsia" w:ascii="楷体" w:hAnsi="楷体" w:eastAsia="楷体" w:cs="楷体"/>
          <w:sz w:val="21"/>
          <w:szCs w:val="21"/>
          <w:highlight w:val="none"/>
          <w:lang w:val="en-US" w:eastAsia="zh-CN"/>
        </w:rPr>
        <w:t xml:space="preserve">1647-9231(2023)-0058-05 </w:t>
      </w:r>
      <w:r>
        <w:rPr>
          <w:rFonts w:hint="eastAsia" w:ascii="黑体" w:hAnsi="黑体" w:eastAsia="黑体" w:cs="黑体"/>
          <w:b/>
          <w:bCs/>
          <w:sz w:val="21"/>
          <w:szCs w:val="21"/>
          <w:highlight w:val="none"/>
          <w:lang w:val="en-US" w:eastAsia="zh-CN"/>
        </w:rPr>
        <w:t>[收稿日期]</w:t>
      </w:r>
      <w:r>
        <w:rPr>
          <w:rFonts w:hint="eastAsia" w:ascii="楷体" w:hAnsi="楷体" w:eastAsia="楷体" w:cs="楷体"/>
          <w:sz w:val="21"/>
          <w:szCs w:val="21"/>
          <w:highlight w:val="none"/>
          <w:lang w:val="en-US" w:eastAsia="zh-CN"/>
        </w:rPr>
        <w:t>2023-08-26</w:t>
      </w:r>
    </w:p>
    <w:p>
      <w:pPr>
        <w:keepNext w:val="0"/>
        <w:keepLines w:val="0"/>
        <w:pageBreakBefore w:val="0"/>
        <w:kinsoku/>
        <w:wordWrap/>
        <w:overflowPunct/>
        <w:topLinePunct w:val="0"/>
        <w:autoSpaceDE/>
        <w:autoSpaceDN/>
        <w:bidi w:val="0"/>
        <w:adjustRightInd/>
        <w:snapToGrid/>
        <w:spacing w:line="360" w:lineRule="auto"/>
        <w:textAlignment w:val="auto"/>
        <w:rPr>
          <w:rFonts w:eastAsia="宋体"/>
          <w:sz w:val="24"/>
        </w:rPr>
      </w:pPr>
      <w:r>
        <w:rPr>
          <w:rFonts w:eastAsia="宋体"/>
          <w:sz w:val="24"/>
        </w:rPr>
        <w:t>大学生作为社会中最具活力和创造力的群体，他们对社会的发展起着不可替代的作用。加强对大学生法治观念和规则意识养成的研究，既是建设社会主义法治国家的迫切要求，也是培育新时代社会主义建设者和接班人的内在要求。
当前，大学生在法律上能够清楚地认识到权利与义务之间的关系，并且对法律有一种发自内心深处的尊崇。但是，由于各种主客观因素的影响，大学生对法律和规则还有很多不了解、不认同、不遵守等问题。例如：部分大学生没有意识到权利与义务之间、自由与秩序之间、个人利益与社会利益之间、守法与违法之间存在着冲突；在面临法律纠纷时，有的学生选择了逃避或放弃解决问题；在遇到违法行为时，有的学生选择了忍让或屈服。这些现象虽然是少数，但是暴露出了很多问题。对此，必须从以下几方面入手加强大学生法治观念和规则意识养成研究。</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eastAsia="宋体"/>
          <w:sz w:val="24"/>
        </w:rPr>
      </w:pPr>
      <w:r>
        <w:rPr>
          <w:rFonts w:eastAsia="宋体"/>
          <w:sz w:val="24"/>
        </w:rPr>
        <w:t>一、提升高校法治教育的水平</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eastAsia="宋体"/>
          <w:sz w:val="24"/>
        </w:rPr>
      </w:pPr>
      <w:r>
        <w:rPr>
          <w:rFonts w:eastAsia="宋体"/>
          <w:sz w:val="24"/>
        </w:rPr>
        <w:t>当前，我国高校普遍重视对学生的专业技能教育，忽视了对学生法治观念和规则意识的培养。对此，高校应当把法治教育和专业技能教育相结合，并根据不同专业的特点，有针对性地开展法律知识教育。在法律课程教学中，应把宪法、民法典等法律知识作为重要内容，在教学过程中结合案例进行讲解；在道德与法治课程教学中，要强化学生对法律基本价值的认识与理解。此外，要创新教学方法。通过案例教学法、问题探究法、情境模拟法等多种方法，引导学生学会分析案例、判断是非。要积极探索与学生生活实践相结合的法治教育模式，积极开展模拟法庭、情景模拟等多种形式的模拟实践活动，引导学生在参与中感受法律的尊严和价值。</w:t>
      </w:r>
    </w:p>
    <w:p>
      <w:pPr>
        <w:pStyle w:val="11"/>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eastAsia="宋体"/>
          <w:sz w:val="24"/>
        </w:rPr>
      </w:pPr>
      <w:r>
        <w:rPr>
          <w:rFonts w:eastAsia="宋体"/>
          <w:sz w:val="24"/>
        </w:rPr>
        <w:t>1、积极营造良好的校园法治环境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eastAsia="宋体"/>
          <w:sz w:val="24"/>
        </w:rPr>
      </w:pPr>
      <w:r>
        <w:rPr>
          <w:rFonts w:eastAsia="宋体"/>
          <w:sz w:val="24"/>
        </w:rPr>
        <w:t>良好的校园法治环境对于大学生的法治观念和规则意识养成具有重要的作用。因此，高校要把校园法治建设作为一项重要工作，要重视营造良好的法治环境，并通过多种形式来提高学生的法治观念和规则意识。首先，高校应加强校园文化建设，在校园中开设法律知识讲座、组织学生参加法律知识竞赛、举办模拟法庭活动等，营造浓厚的校园法治氛围，为大学生法治观念和规则意识的养成提供良好的文化基础；其次，学校要开展法治主题班会、法制知识竞赛等活动，为大学生提供法律知识学习平台；最后，要充分利用校园网络、微信公众号等网络新媒体平台，发布相关的法律知识和案例分析，提高大学生对法律知识的关注度。</w:t>
      </w:r>
    </w:p>
    <w:p>
      <w:pPr>
        <w:pStyle w:val="11"/>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eastAsia="宋体"/>
          <w:sz w:val="24"/>
        </w:rPr>
      </w:pPr>
      <w:r>
        <w:rPr>
          <w:rFonts w:eastAsia="宋体"/>
          <w:sz w:val="24"/>
        </w:rPr>
        <w:t>2、加强对学生法律意识的培养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eastAsia="宋体"/>
          <w:sz w:val="24"/>
        </w:rPr>
      </w:pPr>
      <w:r>
        <w:rPr>
          <w:rFonts w:eastAsia="宋体"/>
          <w:sz w:val="24"/>
        </w:rPr>
        <w:t>在高校开展法治教育，需要加强学生法律意识的培养，帮助学生树立正确的世界观、人生观、价值观。学校可以通过开设道德与法治课程、法治实践课程等形式，对学生进行法律知识教育。例如，在思想道德与法治课程教学中，教师可以通过案例分析等方式，帮助学生认识法律在维护社会稳定、促进社会和谐发展中的重要作用。教师可以将思想道德与法治课作为培养学生法律意识的重要平台，通过开设法制实践课程、模拟法庭等多种形式，让学生感受法律的威严与庄严。在此过程中，教师还可以对学生进行法律意识的教育。例如，可以在校园内开展以宪法为主题的演讲比赛、以法律知识为主题的辩论赛等活动；可以邀请法学专家到学校进行法治讲座，通过举办法制讲座、观看警示教育片等方式，增强学生对法律的认知和理解，引导学生树立正确的法治观念。</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eastAsia="宋体"/>
          <w:sz w:val="24"/>
        </w:rPr>
      </w:pPr>
      <w:r>
        <w:rPr>
          <w:rFonts w:eastAsia="宋体"/>
          <w:sz w:val="24"/>
        </w:rPr>
        <w:t>二、营造良好的社会环境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eastAsia="宋体"/>
          <w:sz w:val="24"/>
        </w:rPr>
      </w:pPr>
      <w:r>
        <w:rPr>
          <w:rFonts w:eastAsia="宋体"/>
          <w:sz w:val="24"/>
        </w:rPr>
        <w:t>良好的社会环境是影响大学生法治观念和规则意识的重要因素，直接影响着大学生法治观念和规则意识的形成。所以，我们必须营造良好的社会环境，不断增强社会环境对大学生法治观念和规则意识的影响。</w:t>
      </w:r>
      <w:r>
        <w:rPr>
          <w:rFonts w:eastAsia="宋体"/>
          <w:sz w:val="24"/>
        </w:rPr>
        <w:br w:type="textWrapping"/>
      </w:r>
      <w:r>
        <w:rPr>
          <w:rFonts w:eastAsia="宋体"/>
          <w:sz w:val="24"/>
        </w:rPr>
        <w:t>第一，加强社会主义法治文化建设。我国当前正处在社会主义初级阶段，全面推进依法治国，必须坚持中国特色社会主义法治道路，坚持依法治国、依法执政、依法行政共同推进，坚持法治国家、法治政府、法治社会一体建设。在这样的大环境下，大学生应该自觉增强法律意识，养成学法、懂法、守法、用法的良好习惯。首先，要从思想上重视法律在维护社会稳定中的作用。在全社会营造自觉学习法律知识和弘扬法律精神的良好氛围。其次，要加大宣传力度，在全社会形成自觉学法用法、知法守法的良好氛围。最后，要以道德为支撑推进法律实施。道德与法律是相辅相成、相互促进的关系。大学生作为社会主义建设的生力军和主力军，既要做到学以立德，又要做到学以增智。通过道德教化和法治教育相结合的方式增强大学生学法守法意识。</w:t>
      </w:r>
      <w:r>
        <w:rPr>
          <w:rFonts w:eastAsia="宋体"/>
          <w:sz w:val="24"/>
        </w:rPr>
        <w:br w:type="textWrapping"/>
      </w:r>
      <w:r>
        <w:rPr>
          <w:rFonts w:eastAsia="宋体"/>
          <w:sz w:val="24"/>
        </w:rPr>
        <w:t>第二，发挥思想政治理论课教师在培养大学生法治观念和规则意识方面的引领作用。高校是培育人才的摇篮，肩负着为党和国家培养高素质人才的重要职责。在当今时代背景下，思想政治理论课教师肩负着传播思想政治理论知识、塑造社会主义核心价值观和理想信念的重要使命。因此，思想政治理论课教师在培养大学生法治观念和规则意识方面应发挥积极作用，要引导学生正确认识社会热点问题；要引导学生树立正确的人生观和价值观；要引导学生形成遵纪守法意识；要引导学生提高自己对社会中各种现象的辨别能力。</w:t>
      </w:r>
      <w:r>
        <w:rPr>
          <w:rFonts w:eastAsia="宋体"/>
          <w:sz w:val="24"/>
        </w:rPr>
        <w:br w:type="textWrapping"/>
      </w:r>
      <w:r>
        <w:rPr>
          <w:rFonts w:eastAsia="宋体"/>
          <w:sz w:val="24"/>
        </w:rPr>
        <w:t>第三，加强大学生法治实践活动。“纸上得来终觉浅”。大学生只有在实践中才能将所学理论知识内化为自己的内在精神动力和实际行动。高校应鼓励大学生积极参与各项法制实践活动、创新创业实践活动、志愿服务活动等各种形式多样、生动活泼的社会实践活动。如：“模拟法庭”、“法治大讲堂”等形式多样、生动活泼的社会实践活动不仅可以让大学生更好地理解法律知识，而且可以增强他们对法律的亲近感和认同感，提高他们对法律问题认识水平和分析能力。</w:t>
      </w:r>
      <w:r>
        <w:rPr>
          <w:rFonts w:eastAsia="宋体"/>
          <w:sz w:val="24"/>
        </w:rPr>
        <w:br w:type="textWrapping"/>
      </w:r>
      <w:r>
        <w:rPr>
          <w:rFonts w:eastAsia="宋体"/>
          <w:sz w:val="24"/>
        </w:rPr>
        <w:t>第四，发挥高校心理健康教育和咨询中心作用。心理健康教育和咨询中心是培养大学生法律意识、规则意识以及心理健康问题自我调适能力的重要场所。大学生可以通过心理咨询中心向老师或心理专家反映自己在学习生活中遇到的问题与困惑、寻求帮助和指导、调整自己心态等内容。</w:t>
      </w:r>
    </w:p>
    <w:p>
      <w:pPr>
        <w:pStyle w:val="10"/>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eastAsia="宋体"/>
          <w:sz w:val="24"/>
        </w:rPr>
      </w:pPr>
      <w:r>
        <w:rPr>
          <w:rFonts w:eastAsia="宋体"/>
          <w:sz w:val="24"/>
        </w:rPr>
        <w:t>三、建立健全法律监督机制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eastAsia="宋体"/>
          <w:sz w:val="24"/>
        </w:rPr>
      </w:pPr>
      <w:r>
        <w:rPr>
          <w:rFonts w:eastAsia="宋体"/>
          <w:sz w:val="24"/>
        </w:rPr>
        <w:t>在法治观念和规则意识的养成过程中，必须建立健全法律监督机制，充分发挥法律监督机制对法治观念和规则意识养成的促进作用。</w:t>
      </w:r>
      <w:r>
        <w:rPr>
          <w:rFonts w:eastAsia="宋体"/>
          <w:sz w:val="24"/>
        </w:rPr>
        <w:br w:type="textWrapping"/>
      </w:r>
      <w:r>
        <w:rPr>
          <w:rFonts w:eastAsia="宋体"/>
          <w:sz w:val="24"/>
        </w:rPr>
        <w:t>第一，建立健全学校内部的法律监督机制。学校可以通过设置法律监督机构、聘请法学教师、开设法学课程等方式，引导大学生树立法律意识、规则意识和法治观念，同时督促学校严格执行国家的法律法规。</w:t>
      </w:r>
      <w:r>
        <w:rPr>
          <w:rFonts w:eastAsia="宋体"/>
          <w:sz w:val="24"/>
        </w:rPr>
        <w:br w:type="textWrapping"/>
      </w:r>
      <w:r>
        <w:rPr>
          <w:rFonts w:eastAsia="宋体"/>
          <w:sz w:val="24"/>
        </w:rPr>
        <w:t>第二，建立健全学生权益保障机制。大学生是祖国的未来和民族的希望，他们的权益保障不仅关系到自己的切身利益，而且关系到国家、社会和人民的根本利益。因此，必须建立健全学生权益保障机制，依法维护大学生的合法权益。在现实生活中，有很多大学生法制观念淡薄，他们对于法律法规和规章制度置之不理。因此，必须建立健全法律法规执行机制，对违反法律法规和规章制度的行为进行严肃处理和惩处。</w:t>
      </w:r>
      <w:r>
        <w:rPr>
          <w:rFonts w:eastAsia="宋体"/>
          <w:sz w:val="24"/>
        </w:rPr>
        <w:br w:type="textWrapping"/>
      </w:r>
      <w:r>
        <w:rPr>
          <w:rFonts w:eastAsia="宋体"/>
          <w:sz w:val="24"/>
        </w:rPr>
        <w:t>第四，建立健全法治观念和规则意识养成考核评价机制。考核评价机制是一种能够促进法治观念和规则意识养成的有效手段。只有建立健全考核评价机制，才能实现大学生法治观念和规则意识养成目标。</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eastAsia="楷体"/>
          <w:sz w:val="21"/>
          <w:lang w:val="en-US" w:eastAsia="zh-CN"/>
        </w:rPr>
      </w:pPr>
      <w:r>
        <w:rPr>
          <w:rFonts w:hint="eastAsia" w:eastAsia="楷体"/>
          <w:sz w:val="21"/>
          <w:lang w:val="en-US" w:eastAsia="zh-CN"/>
        </w:rPr>
        <w:t>参考文献：</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楷体" w:cs="Times New Roman"/>
          <w:sz w:val="21"/>
        </w:rPr>
      </w:pPr>
      <w:r>
        <w:rPr>
          <w:rFonts w:hint="eastAsia" w:ascii="Times New Roman" w:hAnsi="Times New Roman" w:eastAsia="楷体" w:cs="Times New Roman"/>
          <w:sz w:val="21"/>
          <w:lang w:val="en-US" w:eastAsia="zh-CN"/>
        </w:rPr>
        <w:t>[1]</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"https://s.wanfangdata.com.cn/paper?q=%E4%BD%9C%E8%80%85:"%E6%B1%9F%E6%B6%9B""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江涛</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"https://d.wanfangdata.com.cn/periodical/fzysh202035077"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基于依法治国视域下大学生法治观念和规则意识养成路径略论</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[J].</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"https://sns.wanfangdata.com.cn/perio/fzysh"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法制与社会</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.2020,(35).DOI:10.19387/j.cnki.1009-0592.2020.12.165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楷体" w:cs="Times New Roman"/>
          <w:sz w:val="21"/>
        </w:rPr>
      </w:pPr>
      <w:r>
        <w:rPr>
          <w:rFonts w:hint="eastAsia" w:ascii="Times New Roman" w:hAnsi="Times New Roman" w:eastAsia="楷体" w:cs="Times New Roman"/>
          <w:sz w:val="21"/>
          <w:lang w:val="en-US" w:eastAsia="zh-CN"/>
        </w:rPr>
        <w:t>[2]</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"https://s.wanfangdata.com.cn/paper?q=%E4%BD%9C%E8%80%85:"%E6%9D%8E%E5%AF%8C%E5%AE%B6""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李富家</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"https://s.wanfangdata.com.cn/paper?q=%E4%BD%9C%E8%80%85:"%E5%B0%A4%E6%98%8A%E8%B6%8A""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尤昊越</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"https://d.wanfangdata.com.cn/periodical/jyjxlt202044048"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依法治国视域下新校区大学生法治观念和规则意识养成路径探究</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[J].</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"https://sns.wanfangdata.com.cn/perio/jyjxlt"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教育教学论坛</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.2020,(44).</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楷体" w:cs="Times New Roman"/>
          <w:sz w:val="21"/>
        </w:rPr>
      </w:pPr>
      <w:r>
        <w:rPr>
          <w:rFonts w:hint="eastAsia" w:ascii="Times New Roman" w:hAnsi="Times New Roman" w:eastAsia="楷体" w:cs="Times New Roman"/>
          <w:sz w:val="21"/>
          <w:lang w:val="en-US" w:eastAsia="zh-CN"/>
        </w:rPr>
        <w:t>[3]</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"https://s.wanfangdata.com.cn/paper?q=%E4%BD%9C%E8%80%85:"%E7%BA%AA%E5%B8%B8%E9%B2%B2""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纪常鲲</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"https://s.wanfangdata.com.cn/paper?q=%E4%BD%9C%E8%80%85:"%E8%94%A1%E9%9D%99""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蔡静</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"https://s.wanfangdata.com.cn/paper?q=%E4%BD%9C%E8%80%85:"%E9%99%88%E7%AB%8B%E6%96%B0""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陈立新</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"https://d.wanfangdata.com.cn/periodical/jlgbdsdxxb201803002"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依法治国视域下大学生法治观念和规则意识养成路径研究</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[J].</w:t>
      </w:r>
      <w:r>
        <w:rPr>
          <w:rFonts w:hint="eastAsia" w:ascii="Times New Roman" w:hAnsi="Times New Roman" w:eastAsia="楷体" w:cs="Times New Roman"/>
          <w:sz w:val="21"/>
          <w:lang w:val="en-US" w:eastAsia="zh-CN"/>
        </w:rPr>
        <w:fldChar w:fldCharType="begin"/>
      </w:r>
      <w:r>
        <w:rPr>
          <w:rFonts w:hint="eastAsia" w:ascii="Times New Roman" w:hAnsi="Times New Roman" w:eastAsia="楷体" w:cs="Times New Roman"/>
          <w:sz w:val="21"/>
          <w:lang w:val="en-US" w:eastAsia="zh-CN"/>
        </w:rPr>
        <w:instrText xml:space="preserve"> HYPERLINK "https://sns.wanfangdata.com.cn/perio/jlgbdsdxxb" \t "https://d.wanfangdata.com.cn/periodical/_blank" </w:instrText>
      </w:r>
      <w:r>
        <w:rPr>
          <w:rFonts w:hint="eastAsia" w:ascii="Times New Roman" w:hAnsi="Times New Roman" w:eastAsia="楷体" w:cs="Times New Roman"/>
          <w:sz w:val="21"/>
          <w:lang w:val="en-US" w:eastAsia="zh-CN"/>
        </w:rPr>
        <w:fldChar w:fldCharType="separate"/>
      </w:r>
      <w:r>
        <w:rPr>
          <w:rFonts w:hint="eastAsia" w:ascii="Times New Roman" w:hAnsi="Times New Roman" w:eastAsia="楷体" w:cs="Times New Roman"/>
          <w:sz w:val="21"/>
        </w:rPr>
        <w:t>吉林广播电视大学学报</w:t>
      </w:r>
      <w:r>
        <w:rPr>
          <w:rFonts w:hint="eastAsia" w:ascii="Times New Roman" w:hAnsi="Times New Roman" w:eastAsia="楷体" w:cs="Times New Roman"/>
          <w:sz w:val="21"/>
          <w:lang w:val="en-US" w:eastAsia="zh-CN"/>
        </w:rPr>
        <w:fldChar w:fldCharType="end"/>
      </w:r>
      <w:r>
        <w:rPr>
          <w:rFonts w:hint="eastAsia" w:ascii="Times New Roman" w:hAnsi="Times New Roman" w:eastAsia="楷体" w:cs="Times New Roman"/>
          <w:sz w:val="21"/>
          <w:lang w:val="en-US" w:eastAsia="zh-CN"/>
        </w:rPr>
        <w:t>.2018,(3).</w:t>
      </w: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eastAsia="宋体"/>
          <w:b/>
          <w:sz w:val="24"/>
          <w:lang w:val="en-US" w:eastAsia="zh-CN"/>
        </w:rPr>
        <w:sectPr>
          <w:type w:val="continuous"/>
          <w:pgSz w:w="11906" w:h="16838"/>
          <w:pgMar w:top="1134" w:right="1134" w:bottom="1134" w:left="1134" w:header="720" w:footer="720" w:gutter="0"/>
          <w:cols w:equalWidth="0" w:num="2">
            <w:col w:w="4606" w:space="425"/>
            <w:col w:w="4606"/>
          </w:cols>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eastAsia="宋体"/>
          <w:b/>
          <w:sz w:val="24"/>
          <w:lang w:val="en-US" w:eastAsia="zh-CN"/>
        </w:rPr>
      </w:pPr>
      <w:r>
        <w:rPr>
          <w:rFonts w:hint="eastAsia" w:eastAsia="宋体"/>
          <w:b/>
          <w:sz w:val="24"/>
          <w:lang w:val="en-US" w:eastAsia="zh-CN"/>
        </w:rPr>
        <w:t>Research on the concept of rule of law and rule consciousness</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eastAsia="宋体"/>
          <w:sz w:val="24"/>
          <w:lang w:val="en-US" w:eastAsia="zh-CN"/>
        </w:rPr>
      </w:pPr>
      <w:r>
        <w:rPr>
          <w:rFonts w:hint="eastAsia" w:eastAsia="宋体"/>
          <w:sz w:val="24"/>
          <w:lang w:val="en-US" w:eastAsia="zh-CN"/>
        </w:rPr>
        <w:t>Wang Zike</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eastAsia="宋体"/>
          <w:sz w:val="24"/>
          <w:lang w:val="en-US" w:eastAsia="zh-CN"/>
        </w:rPr>
      </w:pPr>
      <w:r>
        <w:rPr>
          <w:rFonts w:hint="eastAsia" w:eastAsia="宋体"/>
          <w:sz w:val="24"/>
          <w:lang w:val="en-US" w:eastAsia="zh-CN"/>
        </w:rPr>
        <w:t>Guangdong Mechanical and Electrical Vocational and Technical College, Guangdong Guangzhou 510515</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val="en-US" w:eastAsia="zh-CN"/>
        </w:rPr>
      </w:pPr>
      <w:r>
        <w:rPr>
          <w:rFonts w:hint="eastAsia" w:eastAsia="宋体"/>
          <w:sz w:val="24"/>
          <w:lang w:val="en-US" w:eastAsia="zh-CN"/>
        </w:rPr>
        <w:t>Abstract: The concept of rule of law and the consciousness of rules are the citizens' cognition, understanding and identification of law on the basis of law. The concept of the rule of law and the consciousness of rules are the basic condition of the society ruled by law and the inherent requirement of the strategy of "governing the country by law". With the rapid development of economy and society, people's values are also undergoing profound changes.</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val="en-US" w:eastAsia="zh-CN"/>
        </w:rPr>
      </w:pPr>
      <w:r>
        <w:rPr>
          <w:rFonts w:hint="eastAsia" w:eastAsia="宋体"/>
          <w:sz w:val="24"/>
          <w:lang w:val="en-US" w:eastAsia="zh-CN"/>
        </w:rPr>
        <w:t>Key words: college students; the concept of the rule of law; research</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val="en-US" w:eastAsia="zh-CN"/>
        </w:rPr>
      </w:pPr>
    </w:p>
    <w:sectPr>
      <w:type w:val="continuous"/>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黑">
    <w:altName w:val="黑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ascii="黑体" w:hAnsi="黑体" w:eastAsia="黑体" w:cs="黑体"/>
        <w:b/>
        <w:bCs/>
        <w:lang w:val="en-US"/>
      </w:rPr>
    </w:pPr>
    <w:r>
      <w:rPr>
        <w:rFonts w:hint="eastAsia" w:ascii="黑体" w:hAnsi="黑体" w:eastAsia="黑体" w:cs="黑体"/>
        <w:b/>
        <w:bCs/>
        <w:color w:val="231F20"/>
        <w:kern w:val="0"/>
        <w:sz w:val="16"/>
        <w:szCs w:val="16"/>
        <w:u w:val="single"/>
        <w:lang w:val="en-US" w:eastAsia="zh-CN" w:bidi="ar"/>
      </w:rPr>
      <w:t>2023 年 11月                                           教育教学高峰论坛                                      Nov. 2023</w:t>
    </w:r>
  </w:p>
  <w:p>
    <w:pPr>
      <w:pStyle w:val="5"/>
      <w:jc w:val="left"/>
    </w:pPr>
    <w:r>
      <w:rPr>
        <w:rFonts w:hint="eastAsia" w:ascii="黑体" w:hAnsi="黑体" w:eastAsia="黑体" w:cs="黑体"/>
        <w:b/>
        <w:bCs/>
        <w:color w:val="231F20"/>
        <w:kern w:val="0"/>
        <w:sz w:val="16"/>
        <w:szCs w:val="16"/>
        <w:lang w:val="en-US" w:eastAsia="zh-CN" w:bidi="ar"/>
      </w:rPr>
      <w:t>第 23期                                                                                                          No.23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TkyZjUxMzMwNTA3MjNlYWQxMzY2MWEwNTE3NzVhMTUifQ=="/>
  </w:docVars>
  <w:rsids>
    <w:rsidRoot w:val="00000000"/>
    <w:rsid w:val="142C4B7D"/>
    <w:rsid w:val="46360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z w:val="21"/>
      <w:szCs w:val="2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widowControl w:val="0"/>
      <w:spacing w:after="120"/>
      <w:ind w:left="420" w:leftChars="200"/>
    </w:pPr>
    <w:rPr>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 w:type="paragraph" w:customStyle="1" w:styleId="9">
    <w:name w:val="标题 11"/>
    <w:unhideWhenUsed/>
    <w:qFormat/>
    <w:uiPriority w:val="1"/>
    <w:pPr>
      <w:outlineLvl w:val="1"/>
    </w:pPr>
    <w:rPr>
      <w:rFonts w:ascii="宋体"/>
      <w:b/>
      <w:color w:val="000000"/>
      <w:sz w:val="44"/>
      <w:szCs w:val="44"/>
    </w:rPr>
  </w:style>
  <w:style w:type="paragraph" w:customStyle="1" w:styleId="10">
    <w:name w:val="标题 21"/>
    <w:unhideWhenUsed/>
    <w:qFormat/>
    <w:uiPriority w:val="2"/>
    <w:pPr>
      <w:outlineLvl w:val="2"/>
    </w:pPr>
    <w:rPr>
      <w:rFonts w:ascii="宋体"/>
      <w:b/>
      <w:color w:val="000000"/>
      <w:sz w:val="32"/>
      <w:szCs w:val="32"/>
    </w:rPr>
  </w:style>
  <w:style w:type="paragraph" w:customStyle="1" w:styleId="11">
    <w:name w:val="标题 31"/>
    <w:unhideWhenUsed/>
    <w:qFormat/>
    <w:uiPriority w:val="3"/>
    <w:pPr>
      <w:outlineLvl w:val="3"/>
    </w:pPr>
    <w:rPr>
      <w:rFonts w:ascii="宋体"/>
      <w:b/>
      <w:color w:val="000000"/>
      <w:sz w:val="28"/>
      <w:szCs w:val="28"/>
    </w:rPr>
  </w:style>
  <w:style w:type="paragraph" w:customStyle="1" w:styleId="12">
    <w:name w:val="标题 41"/>
    <w:unhideWhenUsed/>
    <w:qFormat/>
    <w:uiPriority w:val="4"/>
    <w:pPr>
      <w:outlineLvl w:val="4"/>
    </w:pPr>
    <w:rPr>
      <w:rFonts w:ascii="宋体"/>
      <w:b/>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2023-07-03T05:18:00Z</dcterms:created>
  <dc:creator>Apache POI</dc:creator>
  <cp:lastModifiedBy>《教育教学论坛》编辑部</cp:lastModifiedBy>
  <dcterms:modified xsi:type="dcterms:W3CDTF">2023-11-20T08:51:25Z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B17BAA8CA69C4F9E9F830116A08E1BD9_12</vt:lpwstr>
  </property>
</Properties>
</file>